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065A" w14:textId="77777777" w:rsidR="000D231B" w:rsidRPr="000D231B" w:rsidRDefault="006B1F5D" w:rsidP="008B0CF4">
      <w:pPr>
        <w:spacing w:line="360" w:lineRule="auto"/>
        <w:jc w:val="center"/>
        <w:rPr>
          <w:rFonts w:ascii="宋体" w:eastAsia="宋体" w:hAnsi="宋体" w:cs="仿宋"/>
          <w:b/>
          <w:bCs/>
          <w:sz w:val="36"/>
          <w:szCs w:val="36"/>
        </w:rPr>
      </w:pPr>
      <w:r w:rsidRPr="000D231B">
        <w:rPr>
          <w:rFonts w:ascii="宋体" w:eastAsia="宋体" w:hAnsi="宋体" w:cs="仿宋" w:hint="eastAsia"/>
          <w:b/>
          <w:bCs/>
          <w:sz w:val="36"/>
          <w:szCs w:val="36"/>
        </w:rPr>
        <w:t>历史学</w:t>
      </w:r>
      <w:r w:rsidR="008B0CF4" w:rsidRPr="000D231B">
        <w:rPr>
          <w:rFonts w:ascii="宋体" w:eastAsia="宋体" w:hAnsi="宋体" w:cs="仿宋" w:hint="eastAsia"/>
          <w:b/>
          <w:bCs/>
          <w:sz w:val="36"/>
          <w:szCs w:val="36"/>
        </w:rPr>
        <w:t>系研究生学业奖学金</w:t>
      </w:r>
      <w:r w:rsidR="00A715EC" w:rsidRPr="000D231B">
        <w:rPr>
          <w:rFonts w:ascii="宋体" w:eastAsia="宋体" w:hAnsi="宋体" w:cs="仿宋" w:hint="eastAsia"/>
          <w:b/>
          <w:bCs/>
          <w:sz w:val="36"/>
          <w:szCs w:val="36"/>
        </w:rPr>
        <w:t>评审实施细则</w:t>
      </w:r>
    </w:p>
    <w:p w14:paraId="29909146" w14:textId="53E10BBC" w:rsidR="008B0CF4" w:rsidRPr="00876B11" w:rsidRDefault="008E2D12" w:rsidP="008B0CF4">
      <w:pPr>
        <w:spacing w:line="360" w:lineRule="auto"/>
        <w:jc w:val="center"/>
        <w:rPr>
          <w:rFonts w:ascii="宋体" w:eastAsia="宋体" w:hAnsi="宋体" w:cs="仿宋"/>
          <w:sz w:val="24"/>
        </w:rPr>
      </w:pPr>
      <w:r w:rsidRPr="00876B11">
        <w:rPr>
          <w:rFonts w:ascii="宋体" w:eastAsia="宋体" w:hAnsi="宋体" w:cs="仿宋" w:hint="eastAsia"/>
          <w:sz w:val="24"/>
        </w:rPr>
        <w:t>（20</w:t>
      </w:r>
      <w:r w:rsidR="00526E5C" w:rsidRPr="00876B11">
        <w:rPr>
          <w:rFonts w:ascii="宋体" w:eastAsia="宋体" w:hAnsi="宋体" w:cs="仿宋" w:hint="eastAsia"/>
          <w:sz w:val="24"/>
        </w:rPr>
        <w:t>2</w:t>
      </w:r>
      <w:r w:rsidR="000155A3">
        <w:rPr>
          <w:rFonts w:ascii="宋体" w:eastAsia="宋体" w:hAnsi="宋体" w:cs="仿宋"/>
          <w:sz w:val="24"/>
        </w:rPr>
        <w:t>3</w:t>
      </w:r>
      <w:r w:rsidRPr="00876B11">
        <w:rPr>
          <w:rFonts w:ascii="宋体" w:eastAsia="宋体" w:hAnsi="宋体" w:cs="仿宋" w:hint="eastAsia"/>
          <w:sz w:val="24"/>
        </w:rPr>
        <w:t>年</w:t>
      </w:r>
      <w:r w:rsidR="000155A3">
        <w:rPr>
          <w:rFonts w:ascii="宋体" w:eastAsia="宋体" w:hAnsi="宋体" w:cs="仿宋"/>
          <w:sz w:val="24"/>
        </w:rPr>
        <w:t>9</w:t>
      </w:r>
      <w:r w:rsidR="00CE682A" w:rsidRPr="00876B11">
        <w:rPr>
          <w:rFonts w:ascii="宋体" w:eastAsia="宋体" w:hAnsi="宋体" w:cs="仿宋" w:hint="eastAsia"/>
          <w:sz w:val="24"/>
        </w:rPr>
        <w:t>月</w:t>
      </w:r>
      <w:r w:rsidR="006B1F5D" w:rsidRPr="00876B11">
        <w:rPr>
          <w:rFonts w:ascii="宋体" w:eastAsia="宋体" w:hAnsi="宋体" w:cs="仿宋" w:hint="eastAsia"/>
          <w:sz w:val="24"/>
        </w:rPr>
        <w:t>制订</w:t>
      </w:r>
      <w:r w:rsidRPr="00876B11">
        <w:rPr>
          <w:rFonts w:ascii="宋体" w:eastAsia="宋体" w:hAnsi="宋体" w:cs="仿宋" w:hint="eastAsia"/>
          <w:sz w:val="24"/>
        </w:rPr>
        <w:t>）</w:t>
      </w:r>
    </w:p>
    <w:p w14:paraId="2A21F775" w14:textId="77777777" w:rsidR="000D231B" w:rsidRDefault="000D231B" w:rsidP="001F3760">
      <w:pPr>
        <w:spacing w:line="360" w:lineRule="auto"/>
        <w:ind w:firstLine="420"/>
        <w:jc w:val="center"/>
        <w:rPr>
          <w:rFonts w:ascii="宋体" w:eastAsia="宋体" w:hAnsi="宋体" w:cs="仿宋"/>
          <w:b/>
          <w:sz w:val="24"/>
        </w:rPr>
      </w:pPr>
    </w:p>
    <w:p w14:paraId="741F12DA" w14:textId="77777777"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14:paraId="67231CBF" w14:textId="77777777" w:rsidR="001E7D0A" w:rsidRDefault="001E7D0A" w:rsidP="00E605C6">
      <w:pPr>
        <w:spacing w:line="360" w:lineRule="auto"/>
        <w:ind w:firstLine="420"/>
        <w:rPr>
          <w:rFonts w:ascii="宋体" w:eastAsia="宋体" w:hAnsi="宋体" w:cs="仿宋"/>
          <w:sz w:val="24"/>
        </w:rPr>
      </w:pPr>
    </w:p>
    <w:p w14:paraId="4912A66D" w14:textId="77777777"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14:paraId="6B8771AC" w14:textId="77777777"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14:paraId="4620B7AA" w14:textId="77777777" w:rsidR="001E7D0A" w:rsidRDefault="001E7D0A" w:rsidP="001F3760">
      <w:pPr>
        <w:tabs>
          <w:tab w:val="left" w:pos="2100"/>
        </w:tabs>
        <w:spacing w:line="360" w:lineRule="auto"/>
        <w:ind w:firstLine="420"/>
        <w:jc w:val="center"/>
        <w:rPr>
          <w:rFonts w:ascii="宋体" w:eastAsia="宋体" w:hAnsi="宋体" w:cs="仿宋"/>
          <w:b/>
          <w:sz w:val="24"/>
        </w:rPr>
      </w:pPr>
    </w:p>
    <w:p w14:paraId="7032C90D" w14:textId="77777777"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14:paraId="6757DED2" w14:textId="77777777"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14:paraId="310C1C18" w14:textId="77777777"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14:paraId="389E9D96" w14:textId="77777777"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14:paraId="3810474E" w14:textId="77777777"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14:paraId="638C3D92" w14:textId="77777777"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14:paraId="1622F9C3" w14:textId="77777777"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r w:rsidR="006501E5">
        <w:rPr>
          <w:rFonts w:ascii="宋体" w:eastAsia="宋体" w:hAnsi="宋体" w:cs="仿宋" w:hint="eastAsia"/>
          <w:sz w:val="24"/>
        </w:rPr>
        <w:t>。</w:t>
      </w:r>
    </w:p>
    <w:p w14:paraId="56D45AA5" w14:textId="77777777"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14:paraId="2BA65D9C" w14:textId="77777777"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14:paraId="2861F234"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w:t>
      </w:r>
      <w:r w:rsidRPr="001A70B8">
        <w:rPr>
          <w:rFonts w:ascii="宋体" w:eastAsia="宋体" w:hAnsi="宋体" w:cs="仿宋" w:hint="eastAsia"/>
          <w:sz w:val="24"/>
        </w:rPr>
        <w:lastRenderedPageBreak/>
        <w:t>本硕博连读研究生，分别参照有关政策执行。</w:t>
      </w:r>
    </w:p>
    <w:p w14:paraId="50958823"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14:paraId="139478FD"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14:paraId="41F24652"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2）学籍状态处于休学（复学后学业奖学金参评年限顺延）、保留学籍者（公派出国留学保留学籍者除外）；</w:t>
      </w:r>
    </w:p>
    <w:p w14:paraId="06808B6A"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14:paraId="0C7109E6"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14:paraId="67956C5B"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14:paraId="6A6ADAEA" w14:textId="7777777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14:paraId="205D2684" w14:textId="77777777"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14:paraId="309B51D2" w14:textId="77777777"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14:paraId="519EC426" w14:textId="77777777"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14:paraId="52D7BDFF" w14:textId="77777777"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14:paraId="39A0B176" w14:textId="77777777"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14:paraId="64C4BCD4" w14:textId="77777777" w:rsidR="001E7D0A" w:rsidRDefault="001E7D0A" w:rsidP="0077481C">
      <w:pPr>
        <w:tabs>
          <w:tab w:val="left" w:pos="2100"/>
        </w:tabs>
        <w:spacing w:line="360" w:lineRule="auto"/>
        <w:ind w:firstLine="420"/>
        <w:jc w:val="center"/>
        <w:rPr>
          <w:rFonts w:ascii="宋体" w:eastAsia="宋体" w:hAnsi="宋体" w:cs="仿宋"/>
          <w:b/>
          <w:sz w:val="24"/>
        </w:rPr>
      </w:pPr>
    </w:p>
    <w:p w14:paraId="6A8CFD5C" w14:textId="77777777"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14:paraId="3DE0A54A" w14:textId="77777777"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14:paraId="6E31CCD0" w14:textId="77777777"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5个工作日的公示。公示无异议后，提交学校研究生学业奖学金评审领导小组审定。</w:t>
      </w:r>
    </w:p>
    <w:p w14:paraId="078B4BF7" w14:textId="77777777"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lastRenderedPageBreak/>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14:paraId="05EDF4B6" w14:textId="77777777"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14:paraId="14D1A384" w14:textId="77777777" w:rsidR="0077481C" w:rsidRPr="0077481C" w:rsidRDefault="0077481C" w:rsidP="0077481C">
      <w:pPr>
        <w:tabs>
          <w:tab w:val="left" w:pos="2100"/>
        </w:tabs>
        <w:spacing w:line="360" w:lineRule="auto"/>
        <w:ind w:firstLine="420"/>
        <w:rPr>
          <w:rFonts w:ascii="宋体" w:eastAsia="宋体" w:hAnsi="宋体" w:cs="仿宋"/>
          <w:sz w:val="24"/>
        </w:rPr>
      </w:pPr>
    </w:p>
    <w:p w14:paraId="497AB7AC" w14:textId="39C7552B"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第四章</w:t>
      </w:r>
      <w:r w:rsidR="00956D54">
        <w:rPr>
          <w:rFonts w:ascii="宋体" w:eastAsia="宋体" w:hAnsi="宋体" w:cs="仿宋" w:hint="eastAsia"/>
          <w:b/>
          <w:sz w:val="24"/>
        </w:rPr>
        <w:t xml:space="preserve"> </w:t>
      </w:r>
      <w:r w:rsidR="004770E7" w:rsidRPr="004770E7">
        <w:rPr>
          <w:rFonts w:ascii="宋体" w:eastAsia="宋体" w:hAnsi="宋体" w:cs="仿宋" w:hint="eastAsia"/>
          <w:b/>
          <w:sz w:val="24"/>
        </w:rPr>
        <w:t>发放与监督</w:t>
      </w:r>
    </w:p>
    <w:p w14:paraId="03E52E95" w14:textId="77777777"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14:paraId="0A38CF97" w14:textId="77777777"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14:paraId="408095F1" w14:textId="77777777"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14:paraId="20052056" w14:textId="77777777" w:rsidR="004770E7" w:rsidRDefault="004770E7" w:rsidP="0077481C">
      <w:pPr>
        <w:tabs>
          <w:tab w:val="left" w:pos="2100"/>
        </w:tabs>
        <w:spacing w:line="360" w:lineRule="auto"/>
        <w:ind w:firstLine="420"/>
        <w:rPr>
          <w:rFonts w:ascii="宋体" w:eastAsia="宋体" w:hAnsi="宋体" w:cs="仿宋"/>
          <w:sz w:val="24"/>
        </w:rPr>
      </w:pPr>
    </w:p>
    <w:p w14:paraId="7FB6384A" w14:textId="77777777"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14:paraId="0C9A5FCE" w14:textId="77777777"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14:paraId="195A0B20" w14:textId="77777777" w:rsidR="004770E7" w:rsidRDefault="004770E7" w:rsidP="0077481C">
      <w:pPr>
        <w:tabs>
          <w:tab w:val="left" w:pos="2100"/>
        </w:tabs>
        <w:spacing w:line="360" w:lineRule="auto"/>
        <w:ind w:firstLine="420"/>
        <w:rPr>
          <w:rFonts w:ascii="宋体" w:eastAsia="宋体" w:hAnsi="宋体" w:cs="仿宋"/>
          <w:sz w:val="24"/>
        </w:rPr>
      </w:pPr>
    </w:p>
    <w:p w14:paraId="2E698153" w14:textId="77777777"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14:paraId="2093178F" w14:textId="48CC4728" w:rsidR="00D422F8" w:rsidRPr="00526E5C" w:rsidRDefault="004770E7" w:rsidP="00526E5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w:t>
      </w:r>
      <w:r w:rsidR="00526E5C">
        <w:rPr>
          <w:rFonts w:ascii="宋体" w:eastAsia="宋体" w:hAnsi="宋体" w:cs="仿宋" w:hint="eastAsia"/>
          <w:sz w:val="24"/>
        </w:rPr>
        <w:t>2</w:t>
      </w:r>
      <w:r w:rsidR="000155A3">
        <w:rPr>
          <w:rFonts w:ascii="宋体" w:eastAsia="宋体" w:hAnsi="宋体" w:cs="仿宋"/>
          <w:sz w:val="24"/>
        </w:rPr>
        <w:t>3</w:t>
      </w:r>
      <w:r>
        <w:rPr>
          <w:rFonts w:ascii="宋体" w:eastAsia="宋体" w:hAnsi="宋体" w:cs="仿宋" w:hint="eastAsia"/>
          <w:sz w:val="24"/>
        </w:rPr>
        <w:t>年</w:t>
      </w:r>
      <w:r w:rsidR="000155A3">
        <w:rPr>
          <w:rFonts w:ascii="宋体" w:eastAsia="宋体" w:hAnsi="宋体" w:cs="仿宋"/>
          <w:sz w:val="24"/>
        </w:rPr>
        <w:t>9</w:t>
      </w:r>
      <w:r>
        <w:rPr>
          <w:rFonts w:ascii="宋体" w:eastAsia="宋体" w:hAnsi="宋体" w:cs="仿宋" w:hint="eastAsia"/>
          <w:sz w:val="24"/>
        </w:rPr>
        <w:t>月</w:t>
      </w:r>
    </w:p>
    <w:sectPr w:rsidR="00D422F8" w:rsidRPr="00526E5C" w:rsidSect="00903C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A2B6" w14:textId="77777777" w:rsidR="001E4A03" w:rsidRDefault="001E4A03" w:rsidP="008B0CF4">
      <w:r>
        <w:separator/>
      </w:r>
    </w:p>
  </w:endnote>
  <w:endnote w:type="continuationSeparator" w:id="0">
    <w:p w14:paraId="77856428" w14:textId="77777777" w:rsidR="001E4A03" w:rsidRDefault="001E4A03" w:rsidP="008B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B27D" w14:textId="77777777" w:rsidR="001E4A03" w:rsidRDefault="001E4A03" w:rsidP="008B0CF4">
      <w:r>
        <w:separator/>
      </w:r>
    </w:p>
  </w:footnote>
  <w:footnote w:type="continuationSeparator" w:id="0">
    <w:p w14:paraId="0B761807" w14:textId="77777777" w:rsidR="001E4A03" w:rsidRDefault="001E4A03" w:rsidP="008B0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1666"/>
    <w:rsid w:val="00003450"/>
    <w:rsid w:val="000155A3"/>
    <w:rsid w:val="000B0AA1"/>
    <w:rsid w:val="000D231B"/>
    <w:rsid w:val="00101703"/>
    <w:rsid w:val="001476D5"/>
    <w:rsid w:val="001A70B8"/>
    <w:rsid w:val="001B3A9E"/>
    <w:rsid w:val="001E2DC3"/>
    <w:rsid w:val="001E4A03"/>
    <w:rsid w:val="001E7D0A"/>
    <w:rsid w:val="001E7FF8"/>
    <w:rsid w:val="001F3760"/>
    <w:rsid w:val="00200C6C"/>
    <w:rsid w:val="0027299D"/>
    <w:rsid w:val="002F0DDD"/>
    <w:rsid w:val="00320526"/>
    <w:rsid w:val="003455C1"/>
    <w:rsid w:val="0036368F"/>
    <w:rsid w:val="00396E19"/>
    <w:rsid w:val="003D1334"/>
    <w:rsid w:val="004058DD"/>
    <w:rsid w:val="004255CB"/>
    <w:rsid w:val="00443589"/>
    <w:rsid w:val="004770E7"/>
    <w:rsid w:val="0048755A"/>
    <w:rsid w:val="00526E5C"/>
    <w:rsid w:val="00604619"/>
    <w:rsid w:val="006501E5"/>
    <w:rsid w:val="006B1F5D"/>
    <w:rsid w:val="006C3F56"/>
    <w:rsid w:val="0072288E"/>
    <w:rsid w:val="0077481C"/>
    <w:rsid w:val="007E5CD0"/>
    <w:rsid w:val="00876B11"/>
    <w:rsid w:val="008B0CF4"/>
    <w:rsid w:val="008E2D12"/>
    <w:rsid w:val="00903C18"/>
    <w:rsid w:val="00956D54"/>
    <w:rsid w:val="009A21E1"/>
    <w:rsid w:val="009D15A7"/>
    <w:rsid w:val="00A0639A"/>
    <w:rsid w:val="00A219E7"/>
    <w:rsid w:val="00A715EC"/>
    <w:rsid w:val="00BD7D60"/>
    <w:rsid w:val="00BF1666"/>
    <w:rsid w:val="00CA7213"/>
    <w:rsid w:val="00CB561E"/>
    <w:rsid w:val="00CE682A"/>
    <w:rsid w:val="00D422F8"/>
    <w:rsid w:val="00DA5337"/>
    <w:rsid w:val="00E12898"/>
    <w:rsid w:val="00E605C6"/>
    <w:rsid w:val="00E8562F"/>
    <w:rsid w:val="00ED5FD2"/>
    <w:rsid w:val="00EF307A"/>
    <w:rsid w:val="00F878C7"/>
    <w:rsid w:val="00FC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580B5"/>
  <w15:docId w15:val="{D1ED4630-DFBB-4F63-9218-7B0ECAF7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CF4"/>
    <w:pPr>
      <w:widowControl w:val="0"/>
      <w:jc w:val="both"/>
    </w:pPr>
    <w:rPr>
      <w:szCs w:val="24"/>
    </w:rPr>
  </w:style>
  <w:style w:type="paragraph" w:styleId="1">
    <w:name w:val="heading 1"/>
    <w:basedOn w:val="a"/>
    <w:link w:val="10"/>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0CF4"/>
    <w:rPr>
      <w:sz w:val="18"/>
      <w:szCs w:val="18"/>
    </w:rPr>
  </w:style>
  <w:style w:type="paragraph" w:styleId="a5">
    <w:name w:val="footer"/>
    <w:basedOn w:val="a"/>
    <w:link w:val="a6"/>
    <w:uiPriority w:val="99"/>
    <w:unhideWhenUsed/>
    <w:rsid w:val="008B0CF4"/>
    <w:pPr>
      <w:tabs>
        <w:tab w:val="center" w:pos="4153"/>
        <w:tab w:val="right" w:pos="8306"/>
      </w:tabs>
      <w:snapToGrid w:val="0"/>
      <w:jc w:val="left"/>
    </w:pPr>
    <w:rPr>
      <w:sz w:val="18"/>
      <w:szCs w:val="18"/>
    </w:rPr>
  </w:style>
  <w:style w:type="character" w:customStyle="1" w:styleId="a6">
    <w:name w:val="页脚 字符"/>
    <w:basedOn w:val="a0"/>
    <w:link w:val="a5"/>
    <w:uiPriority w:val="99"/>
    <w:rsid w:val="008B0CF4"/>
    <w:rPr>
      <w:sz w:val="18"/>
      <w:szCs w:val="18"/>
    </w:rPr>
  </w:style>
  <w:style w:type="paragraph" w:styleId="a7">
    <w:name w:val="List Paragraph"/>
    <w:basedOn w:val="a"/>
    <w:uiPriority w:val="34"/>
    <w:qFormat/>
    <w:rsid w:val="00D422F8"/>
    <w:pPr>
      <w:ind w:firstLineChars="200" w:firstLine="420"/>
    </w:pPr>
  </w:style>
  <w:style w:type="character" w:styleId="a8">
    <w:name w:val="Hyperlink"/>
    <w:rsid w:val="00D422F8"/>
    <w:rPr>
      <w:color w:val="0000FF"/>
      <w:u w:val="single"/>
    </w:rPr>
  </w:style>
  <w:style w:type="character" w:customStyle="1" w:styleId="10">
    <w:name w:val="标题 1 字符"/>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 潇</dc:creator>
  <cp:lastModifiedBy>卢 建平</cp:lastModifiedBy>
  <cp:revision>4</cp:revision>
  <dcterms:created xsi:type="dcterms:W3CDTF">2021-08-01T01:56:00Z</dcterms:created>
  <dcterms:modified xsi:type="dcterms:W3CDTF">2023-09-22T01:20:00Z</dcterms:modified>
</cp:coreProperties>
</file>